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25" w:rsidRDefault="008A5C25" w:rsidP="00C93CF8">
      <w:pPr>
        <w:ind w:left="7371" w:right="-646"/>
        <w:jc w:val="both"/>
      </w:pPr>
    </w:p>
    <w:p w:rsidR="008A5C25" w:rsidRPr="00156614" w:rsidRDefault="008A5C25" w:rsidP="00C93CF8">
      <w:pPr>
        <w:outlineLvl w:val="0"/>
        <w:rPr>
          <w:rFonts w:ascii="Arial" w:hAnsi="Arial" w:cs="Arial"/>
          <w:b/>
          <w:sz w:val="22"/>
          <w:szCs w:val="22"/>
        </w:rPr>
      </w:pPr>
      <w:r>
        <w:rPr>
          <w:rFonts w:ascii="Arial" w:hAnsi="Arial" w:cs="Arial"/>
          <w:b/>
          <w:noProof/>
          <w:sz w:val="22"/>
          <w:szCs w:val="22"/>
        </w:rPr>
        <w:t>Absender</w:t>
      </w:r>
    </w:p>
    <w:p w:rsidR="008A5C25" w:rsidRPr="00156614" w:rsidRDefault="008A5C25" w:rsidP="00C93CF8">
      <w:pPr>
        <w:widowControl w:val="0"/>
        <w:rPr>
          <w:rFonts w:ascii="Arial" w:hAnsi="Arial" w:cs="Arial"/>
          <w:snapToGrid w:val="0"/>
          <w:sz w:val="22"/>
          <w:szCs w:val="22"/>
        </w:rPr>
      </w:pPr>
    </w:p>
    <w:p w:rsidR="008A5C25" w:rsidRDefault="008A5C25" w:rsidP="00C93CF8">
      <w:pPr>
        <w:ind w:right="-648"/>
      </w:pPr>
    </w:p>
    <w:p w:rsidR="008A5C25" w:rsidRDefault="008A5C25" w:rsidP="001118B1">
      <w:pPr>
        <w:ind w:right="-648"/>
        <w:jc w:val="center"/>
      </w:pPr>
    </w:p>
    <w:p w:rsidR="008A5C25" w:rsidRDefault="008A5C25" w:rsidP="00D60E56">
      <w:pPr>
        <w:tabs>
          <w:tab w:val="left" w:pos="708"/>
          <w:tab w:val="left" w:pos="1416"/>
          <w:tab w:val="left" w:pos="2124"/>
          <w:tab w:val="left" w:pos="2832"/>
          <w:tab w:val="left" w:pos="3540"/>
          <w:tab w:val="left" w:pos="4248"/>
          <w:tab w:val="center" w:pos="4860"/>
          <w:tab w:val="left" w:pos="4956"/>
          <w:tab w:val="left" w:pos="7286"/>
        </w:tabs>
        <w:spacing w:line="360" w:lineRule="auto"/>
        <w:ind w:right="-646"/>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26" type="#_x0000_t202" style="position:absolute;margin-left:-9pt;margin-top:4.65pt;width:243pt;height:135pt;z-index:251659264" filled="f" stroked="f">
            <v:textbox style="mso-next-textbox:#_x0000_s1026">
              <w:txbxContent>
                <w:p w:rsidR="008A5C25" w:rsidRDefault="008A5C25">
                  <w:pPr>
                    <w:rPr>
                      <w:rFonts w:ascii="Arial" w:hAnsi="Arial" w:cs="Arial"/>
                      <w:sz w:val="16"/>
                      <w:szCs w:val="16"/>
                    </w:rPr>
                  </w:pPr>
                </w:p>
                <w:p w:rsidR="008A5C25" w:rsidRPr="00D60E56" w:rsidRDefault="008A5C25">
                  <w:pPr>
                    <w:rPr>
                      <w:rFonts w:ascii="Arial" w:hAnsi="Arial" w:cs="Arial"/>
                      <w:sz w:val="10"/>
                      <w:szCs w:val="22"/>
                    </w:rPr>
                  </w:pPr>
                </w:p>
                <w:p w:rsidR="008A5C25" w:rsidRDefault="008A5C25">
                  <w:pPr>
                    <w:rPr>
                      <w:rFonts w:ascii="Arial" w:hAnsi="Arial" w:cs="Arial"/>
                      <w:sz w:val="22"/>
                      <w:szCs w:val="22"/>
                    </w:rPr>
                  </w:pPr>
                </w:p>
                <w:p w:rsidR="008A5C25" w:rsidRDefault="008A5C25" w:rsidP="008A5C25">
                  <w:pPr>
                    <w:rPr>
                      <w:rFonts w:ascii="Arial" w:hAnsi="Arial" w:cs="Arial"/>
                      <w:sz w:val="22"/>
                      <w:szCs w:val="22"/>
                    </w:rPr>
                  </w:pPr>
                  <w:r w:rsidRPr="001203B2">
                    <w:rPr>
                      <w:rFonts w:ascii="Arial" w:hAnsi="Arial" w:cs="Arial"/>
                      <w:noProof/>
                      <w:sz w:val="22"/>
                      <w:szCs w:val="22"/>
                    </w:rPr>
                    <w:t xml:space="preserve">Amtsgericht </w:t>
                  </w:r>
                </w:p>
                <w:p w:rsidR="008A5C25" w:rsidRDefault="008A5C25" w:rsidP="00020F01">
                  <w:pPr>
                    <w:rPr>
                      <w:rFonts w:ascii="Arial" w:hAnsi="Arial" w:cs="Arial"/>
                      <w:sz w:val="22"/>
                      <w:szCs w:val="22"/>
                    </w:rPr>
                  </w:pPr>
                </w:p>
                <w:p w:rsidR="008A5C25" w:rsidRDefault="008A5C25" w:rsidP="00020F01">
                  <w:pPr>
                    <w:rPr>
                      <w:rFonts w:ascii="Arial" w:hAnsi="Arial" w:cs="Arial"/>
                      <w:sz w:val="22"/>
                      <w:szCs w:val="22"/>
                    </w:rPr>
                  </w:pPr>
                </w:p>
                <w:p w:rsidR="008A5C25" w:rsidRDefault="008A5C25" w:rsidP="00156614">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Default="008A5C25">
                  <w:pPr>
                    <w:rPr>
                      <w:rFonts w:ascii="Arial" w:hAnsi="Arial" w:cs="Arial"/>
                      <w:sz w:val="22"/>
                      <w:szCs w:val="22"/>
                    </w:rPr>
                  </w:pPr>
                </w:p>
                <w:p w:rsidR="008A5C25" w:rsidRPr="00355990" w:rsidRDefault="008A5C25">
                  <w:pPr>
                    <w:rPr>
                      <w:rFonts w:ascii="Arial" w:hAnsi="Arial" w:cs="Arial"/>
                      <w:sz w:val="22"/>
                      <w:szCs w:val="22"/>
                    </w:rPr>
                  </w:pPr>
                </w:p>
                <w:p w:rsidR="008A5C25" w:rsidRDefault="008A5C25">
                  <w:pPr>
                    <w:rPr>
                      <w:rFonts w:ascii="Arial" w:hAnsi="Arial" w:cs="Arial"/>
                      <w:sz w:val="16"/>
                      <w:szCs w:val="16"/>
                    </w:rPr>
                  </w:pPr>
                </w:p>
                <w:p w:rsidR="008A5C25" w:rsidRDefault="008A5C25">
                  <w:pPr>
                    <w:rPr>
                      <w:rFonts w:ascii="Arial" w:hAnsi="Arial" w:cs="Arial"/>
                      <w:sz w:val="16"/>
                      <w:szCs w:val="16"/>
                    </w:rPr>
                  </w:pPr>
                </w:p>
                <w:p w:rsidR="008A5C25" w:rsidRDefault="008A5C25">
                  <w:pPr>
                    <w:rPr>
                      <w:rFonts w:ascii="Arial" w:hAnsi="Arial" w:cs="Arial"/>
                      <w:sz w:val="16"/>
                      <w:szCs w:val="16"/>
                    </w:rPr>
                  </w:pPr>
                </w:p>
                <w:p w:rsidR="008A5C25" w:rsidRDefault="008A5C25">
                  <w:pPr>
                    <w:rPr>
                      <w:rFonts w:ascii="Arial" w:hAnsi="Arial" w:cs="Arial"/>
                      <w:sz w:val="16"/>
                      <w:szCs w:val="16"/>
                    </w:rPr>
                  </w:pPr>
                </w:p>
                <w:p w:rsidR="008A5C25" w:rsidRDefault="008A5C25">
                  <w:pPr>
                    <w:rPr>
                      <w:rFonts w:ascii="Arial" w:hAnsi="Arial" w:cs="Arial"/>
                      <w:sz w:val="16"/>
                      <w:szCs w:val="16"/>
                    </w:rPr>
                  </w:pPr>
                </w:p>
                <w:p w:rsidR="008A5C25" w:rsidRDefault="008A5C25">
                  <w:pPr>
                    <w:rPr>
                      <w:rFonts w:ascii="Arial" w:hAnsi="Arial" w:cs="Arial"/>
                      <w:sz w:val="16"/>
                      <w:szCs w:val="16"/>
                    </w:rPr>
                  </w:pPr>
                </w:p>
                <w:p w:rsidR="008A5C25" w:rsidRPr="00355990" w:rsidRDefault="008A5C25">
                  <w:pPr>
                    <w:rPr>
                      <w:rFonts w:ascii="Arial" w:hAnsi="Arial" w:cs="Arial"/>
                      <w:sz w:val="16"/>
                      <w:szCs w:val="16"/>
                    </w:rPr>
                  </w:pPr>
                </w:p>
                <w:p w:rsidR="008A5C25" w:rsidRDefault="008A5C25"/>
                <w:p w:rsidR="008A5C25" w:rsidRDefault="008A5C25"/>
                <w:p w:rsidR="008A5C25" w:rsidRDefault="008A5C25"/>
                <w:p w:rsidR="008A5C25" w:rsidRDefault="008A5C25"/>
                <w:p w:rsidR="008A5C25" w:rsidRDefault="008A5C25"/>
                <w:p w:rsidR="008A5C25" w:rsidRDefault="008A5C25"/>
                <w:p w:rsidR="008A5C25" w:rsidRDefault="008A5C25"/>
                <w:p w:rsidR="008A5C25" w:rsidRDefault="008A5C25"/>
                <w:p w:rsidR="008A5C25" w:rsidRDefault="008A5C25"/>
                <w:p w:rsidR="008A5C25" w:rsidRDefault="008A5C25"/>
                <w:p w:rsidR="008A5C25" w:rsidRDefault="008A5C25"/>
                <w:p w:rsidR="008A5C25" w:rsidRDefault="008A5C25"/>
                <w:p w:rsidR="008A5C25" w:rsidRDefault="008A5C25"/>
                <w:p w:rsidR="008A5C25" w:rsidRDefault="008A5C25"/>
              </w:txbxContent>
            </v:textbox>
          </v:shape>
        </w:pict>
      </w:r>
    </w:p>
    <w:p w:rsidR="008A5C25" w:rsidRDefault="008A5C25" w:rsidP="00013B79">
      <w:pPr>
        <w:ind w:right="-648"/>
        <w:jc w:val="center"/>
      </w:pPr>
    </w:p>
    <w:p w:rsidR="008A5C25" w:rsidRPr="00C93CF8" w:rsidRDefault="008A5C25" w:rsidP="00C93CF8"/>
    <w:p w:rsidR="008A5C25" w:rsidRPr="00C93CF8" w:rsidRDefault="008A5C25" w:rsidP="00C93CF8"/>
    <w:p w:rsidR="008A5C25" w:rsidRPr="00C93CF8" w:rsidRDefault="008A5C25" w:rsidP="00C93CF8"/>
    <w:p w:rsidR="008A5C25" w:rsidRPr="00C93CF8" w:rsidRDefault="008A5C25" w:rsidP="00C93CF8"/>
    <w:p w:rsidR="008A5C25" w:rsidRPr="00C93CF8" w:rsidRDefault="008A5C25" w:rsidP="00C93CF8"/>
    <w:p w:rsidR="008A5C25" w:rsidRPr="00C93CF8" w:rsidRDefault="008A5C25" w:rsidP="00C93CF8"/>
    <w:p w:rsidR="008A5C25" w:rsidRPr="00C93CF8" w:rsidRDefault="008A5C25" w:rsidP="00C93CF8"/>
    <w:p w:rsidR="008A5C25" w:rsidRDefault="008A5C25" w:rsidP="00C93CF8"/>
    <w:p w:rsidR="008A5C25" w:rsidRDefault="008A5C25" w:rsidP="00C93CF8"/>
    <w:p w:rsidR="008A5C25" w:rsidRDefault="008A5C25" w:rsidP="00C93CF8">
      <w:pPr>
        <w:jc w:val="right"/>
        <w:rPr>
          <w:rFonts w:ascii="Arial" w:hAnsi="Arial" w:cs="Arial"/>
          <w:sz w:val="22"/>
          <w:szCs w:val="22"/>
        </w:rPr>
      </w:pPr>
      <w:r>
        <w:rPr>
          <w:rFonts w:ascii="Arial" w:hAnsi="Arial" w:cs="Arial"/>
          <w:noProof/>
          <w:sz w:val="22"/>
          <w:szCs w:val="22"/>
        </w:rPr>
        <w:t>Datum</w:t>
      </w:r>
      <w:bookmarkStart w:id="0" w:name="_GoBack"/>
      <w:bookmarkEnd w:id="0"/>
    </w:p>
    <w:p w:rsidR="008A5C25" w:rsidRPr="00E4705E" w:rsidRDefault="008A5C25" w:rsidP="00E4705E">
      <w:pPr>
        <w:spacing w:before="100" w:beforeAutospacing="1" w:after="100" w:afterAutospacing="1"/>
        <w:rPr>
          <w:rFonts w:ascii="Arial" w:hAnsi="Arial" w:cs="Arial"/>
          <w:sz w:val="22"/>
          <w:szCs w:val="22"/>
        </w:rPr>
      </w:pPr>
      <w:r w:rsidRPr="00E4705E">
        <w:rPr>
          <w:rFonts w:ascii="Arial" w:hAnsi="Arial" w:cs="Arial"/>
          <w:sz w:val="22"/>
          <w:szCs w:val="22"/>
        </w:rPr>
        <w:t>In der Vollstreckungssache</w:t>
      </w:r>
    </w:p>
    <w:p w:rsidR="008A5C25" w:rsidRPr="00E4705E" w:rsidRDefault="008A5C25" w:rsidP="00E4705E">
      <w:pPr>
        <w:spacing w:before="100" w:beforeAutospacing="1" w:after="100" w:afterAutospacing="1"/>
        <w:rPr>
          <w:rFonts w:ascii="Arial" w:hAnsi="Arial" w:cs="Arial"/>
          <w:sz w:val="22"/>
          <w:szCs w:val="22"/>
          <w:u w:val="single"/>
        </w:rPr>
      </w:pPr>
      <w:r w:rsidRPr="00E4705E">
        <w:rPr>
          <w:rFonts w:ascii="Arial" w:hAnsi="Arial" w:cs="Arial"/>
          <w:b/>
          <w:bCs/>
          <w:i/>
          <w:iCs/>
          <w:sz w:val="22"/>
          <w:szCs w:val="22"/>
          <w:u w:val="single"/>
        </w:rPr>
        <w:t xml:space="preserve">Gläubiger genau benennen, </w:t>
      </w:r>
      <w:proofErr w:type="spellStart"/>
      <w:r w:rsidRPr="00E4705E">
        <w:rPr>
          <w:rFonts w:ascii="Arial" w:hAnsi="Arial" w:cs="Arial"/>
          <w:b/>
          <w:bCs/>
          <w:i/>
          <w:iCs/>
          <w:sz w:val="22"/>
          <w:szCs w:val="22"/>
          <w:u w:val="single"/>
        </w:rPr>
        <w:t>PfÜB</w:t>
      </w:r>
      <w:proofErr w:type="spellEnd"/>
      <w:r w:rsidRPr="00E4705E">
        <w:rPr>
          <w:rFonts w:ascii="Arial" w:hAnsi="Arial" w:cs="Arial"/>
          <w:b/>
          <w:bCs/>
          <w:i/>
          <w:iCs/>
          <w:sz w:val="22"/>
          <w:szCs w:val="22"/>
          <w:u w:val="single"/>
        </w:rPr>
        <w:t xml:space="preserve"> ( </w:t>
      </w:r>
      <w:proofErr w:type="spellStart"/>
      <w:r w:rsidRPr="00E4705E">
        <w:rPr>
          <w:rFonts w:ascii="Arial" w:hAnsi="Arial" w:cs="Arial"/>
          <w:b/>
          <w:bCs/>
          <w:i/>
          <w:iCs/>
          <w:sz w:val="22"/>
          <w:szCs w:val="22"/>
          <w:u w:val="single"/>
        </w:rPr>
        <w:t>KontenPfändung</w:t>
      </w:r>
      <w:proofErr w:type="spellEnd"/>
      <w:r w:rsidRPr="00E4705E">
        <w:rPr>
          <w:rFonts w:ascii="Arial" w:hAnsi="Arial" w:cs="Arial"/>
          <w:b/>
          <w:bCs/>
          <w:i/>
          <w:iCs/>
          <w:sz w:val="22"/>
          <w:szCs w:val="22"/>
          <w:u w:val="single"/>
        </w:rPr>
        <w:t xml:space="preserve"> ) v. Datum + Aktenzeichen angeben</w:t>
      </w:r>
    </w:p>
    <w:p w:rsidR="008A5C25" w:rsidRPr="00E4705E" w:rsidRDefault="008A5C25" w:rsidP="00E4705E">
      <w:pPr>
        <w:spacing w:before="100" w:beforeAutospacing="1" w:after="100" w:afterAutospacing="1"/>
        <w:rPr>
          <w:rFonts w:ascii="Arial" w:hAnsi="Arial" w:cs="Arial"/>
          <w:sz w:val="22"/>
          <w:szCs w:val="22"/>
        </w:rPr>
      </w:pPr>
      <w:r w:rsidRPr="00E4705E">
        <w:rPr>
          <w:rFonts w:ascii="Arial" w:hAnsi="Arial" w:cs="Arial"/>
          <w:sz w:val="22"/>
          <w:szCs w:val="22"/>
        </w:rPr>
        <w:t>gegen</w:t>
      </w:r>
    </w:p>
    <w:p w:rsidR="008A5C25" w:rsidRPr="00E4705E" w:rsidRDefault="008A5C25" w:rsidP="00E4705E">
      <w:pPr>
        <w:spacing w:before="100" w:beforeAutospacing="1" w:after="100" w:afterAutospacing="1"/>
        <w:rPr>
          <w:rFonts w:ascii="Arial" w:hAnsi="Arial" w:cs="Arial"/>
          <w:sz w:val="22"/>
          <w:szCs w:val="22"/>
          <w:u w:val="single"/>
        </w:rPr>
      </w:pPr>
      <w:r w:rsidRPr="00E4705E">
        <w:rPr>
          <w:rFonts w:ascii="Arial" w:hAnsi="Arial" w:cs="Arial"/>
          <w:b/>
          <w:bCs/>
          <w:i/>
          <w:iCs/>
          <w:sz w:val="22"/>
          <w:szCs w:val="22"/>
          <w:u w:val="single"/>
        </w:rPr>
        <w:t>Schuldner (mit Anschrift) genau benennen</w:t>
      </w:r>
    </w:p>
    <w:p w:rsidR="008A5C25" w:rsidRPr="00E4705E" w:rsidRDefault="008A5C25" w:rsidP="00E4705E">
      <w:pPr>
        <w:rPr>
          <w:rFonts w:ascii="Arial" w:hAnsi="Arial" w:cs="Arial"/>
          <w:sz w:val="22"/>
          <w:szCs w:val="22"/>
        </w:rPr>
      </w:pPr>
      <w:r w:rsidRPr="00E4705E">
        <w:rPr>
          <w:rFonts w:ascii="Arial" w:hAnsi="Arial" w:cs="Arial"/>
          <w:i/>
          <w:iCs/>
          <w:sz w:val="22"/>
          <w:szCs w:val="22"/>
        </w:rPr>
        <w:t xml:space="preserve"> </w:t>
      </w:r>
      <w:r w:rsidRPr="00E4705E">
        <w:rPr>
          <w:rFonts w:ascii="Arial" w:hAnsi="Arial" w:cs="Arial"/>
          <w:sz w:val="22"/>
          <w:szCs w:val="22"/>
        </w:rPr>
        <w:t>wird beantragt,</w:t>
      </w:r>
    </w:p>
    <w:p w:rsidR="008A5C25" w:rsidRPr="00E4705E" w:rsidRDefault="008A5C25" w:rsidP="00E4705E">
      <w:pPr>
        <w:spacing w:before="100" w:beforeAutospacing="1" w:after="100" w:afterAutospacing="1"/>
        <w:rPr>
          <w:rFonts w:ascii="Arial" w:hAnsi="Arial" w:cs="Arial"/>
          <w:sz w:val="22"/>
          <w:szCs w:val="22"/>
        </w:rPr>
      </w:pPr>
    </w:p>
    <w:p w:rsidR="008A5C25" w:rsidRPr="00E4705E" w:rsidRDefault="008A5C25" w:rsidP="00E4705E">
      <w:pPr>
        <w:numPr>
          <w:ilvl w:val="0"/>
          <w:numId w:val="1"/>
        </w:numPr>
        <w:spacing w:before="100" w:beforeAutospacing="1" w:after="100" w:afterAutospacing="1"/>
        <w:rPr>
          <w:rFonts w:ascii="Arial" w:hAnsi="Arial" w:cs="Arial"/>
          <w:sz w:val="22"/>
          <w:szCs w:val="22"/>
        </w:rPr>
      </w:pPr>
      <w:r w:rsidRPr="00E4705E">
        <w:rPr>
          <w:rFonts w:ascii="Arial" w:hAnsi="Arial" w:cs="Arial"/>
          <w:sz w:val="22"/>
          <w:szCs w:val="22"/>
        </w:rPr>
        <w:t>den unpfändbaren Anteil der laufenden Einkünfte gem. § 850k Abs. 4 ZPO freizugeben und die Pfändung des Kontos insoweit aufzuheben, soweit es sich um Zahlungen des Arbeitgebers des Antragstellers,</w:t>
      </w:r>
      <w:r w:rsidRPr="00E4705E">
        <w:rPr>
          <w:rFonts w:ascii="Arial" w:hAnsi="Arial" w:cs="Arial"/>
          <w:b/>
          <w:bCs/>
          <w:sz w:val="22"/>
          <w:szCs w:val="22"/>
        </w:rPr>
        <w:t xml:space="preserve"> [</w:t>
      </w:r>
      <w:r w:rsidRPr="00E4705E">
        <w:rPr>
          <w:rFonts w:ascii="Arial" w:hAnsi="Arial" w:cs="Arial"/>
          <w:b/>
          <w:bCs/>
          <w:i/>
          <w:iCs/>
          <w:sz w:val="22"/>
          <w:szCs w:val="22"/>
          <w:u w:val="single"/>
        </w:rPr>
        <w:t>Name und Anschrift Arbeitgeber</w:t>
      </w:r>
      <w:r w:rsidRPr="00E4705E">
        <w:rPr>
          <w:rFonts w:ascii="Arial" w:hAnsi="Arial" w:cs="Arial"/>
          <w:b/>
          <w:bCs/>
          <w:sz w:val="22"/>
          <w:szCs w:val="22"/>
        </w:rPr>
        <w:t>]</w:t>
      </w:r>
      <w:r w:rsidRPr="00E4705E">
        <w:rPr>
          <w:rFonts w:ascii="Arial" w:hAnsi="Arial" w:cs="Arial"/>
          <w:sz w:val="22"/>
          <w:szCs w:val="22"/>
        </w:rPr>
        <w:t>, handelt</w:t>
      </w:r>
    </w:p>
    <w:p w:rsidR="008A5C25" w:rsidRPr="00E4705E" w:rsidRDefault="008A5C25" w:rsidP="00E4705E">
      <w:pPr>
        <w:numPr>
          <w:ilvl w:val="0"/>
          <w:numId w:val="1"/>
        </w:numPr>
        <w:spacing w:before="100" w:beforeAutospacing="1" w:after="100" w:afterAutospacing="1"/>
        <w:rPr>
          <w:rFonts w:ascii="Arial" w:hAnsi="Arial" w:cs="Arial"/>
          <w:sz w:val="22"/>
          <w:szCs w:val="22"/>
        </w:rPr>
      </w:pPr>
      <w:r w:rsidRPr="00E4705E">
        <w:rPr>
          <w:rFonts w:ascii="Arial" w:hAnsi="Arial" w:cs="Arial"/>
          <w:sz w:val="22"/>
          <w:szCs w:val="22"/>
        </w:rPr>
        <w:t>die Vollstreckung bis zur Entscheidung des Gerichts einstweilig einzustellen</w:t>
      </w:r>
    </w:p>
    <w:p w:rsidR="008A5C25" w:rsidRPr="00E4705E" w:rsidRDefault="008A5C25" w:rsidP="00E4705E">
      <w:pPr>
        <w:rPr>
          <w:rFonts w:ascii="Arial" w:hAnsi="Arial" w:cs="Arial"/>
          <w:sz w:val="22"/>
          <w:szCs w:val="22"/>
          <w:u w:val="single"/>
        </w:rPr>
      </w:pPr>
      <w:r w:rsidRPr="00E4705E">
        <w:rPr>
          <w:rFonts w:ascii="Arial" w:hAnsi="Arial" w:cs="Arial"/>
          <w:sz w:val="22"/>
          <w:szCs w:val="22"/>
          <w:u w:val="single"/>
        </w:rPr>
        <w:t>Gründe:</w:t>
      </w:r>
    </w:p>
    <w:p w:rsidR="008A5C25" w:rsidRPr="00E4705E" w:rsidRDefault="008A5C25" w:rsidP="00E4705E">
      <w:pPr>
        <w:numPr>
          <w:ilvl w:val="0"/>
          <w:numId w:val="2"/>
        </w:numPr>
        <w:spacing w:before="100" w:beforeAutospacing="1" w:after="100" w:afterAutospacing="1"/>
        <w:rPr>
          <w:rFonts w:ascii="Arial" w:hAnsi="Arial" w:cs="Arial"/>
          <w:sz w:val="22"/>
          <w:szCs w:val="22"/>
        </w:rPr>
      </w:pPr>
      <w:r w:rsidRPr="00E4705E">
        <w:rPr>
          <w:rFonts w:ascii="Arial" w:hAnsi="Arial" w:cs="Arial"/>
          <w:sz w:val="22"/>
          <w:szCs w:val="22"/>
        </w:rPr>
        <w:t xml:space="preserve">Das </w:t>
      </w:r>
      <w:r w:rsidRPr="00E4705E">
        <w:rPr>
          <w:rFonts w:ascii="Arial" w:hAnsi="Arial" w:cs="Arial"/>
          <w:sz w:val="22"/>
          <w:szCs w:val="22"/>
          <w:u w:val="single"/>
        </w:rPr>
        <w:t>Konto</w:t>
      </w:r>
      <w:r w:rsidRPr="00E4705E">
        <w:rPr>
          <w:rFonts w:ascii="Arial" w:hAnsi="Arial" w:cs="Arial"/>
          <w:sz w:val="22"/>
          <w:szCs w:val="22"/>
        </w:rPr>
        <w:t xml:space="preserve"> des Antragstellers wurde durch den Pfändungs- und Überweisungsbeschluss des o.g. Gläubigers gepfändet. Es wird als Pfändungsschutzkonto geführt. </w:t>
      </w:r>
    </w:p>
    <w:p w:rsidR="008A5C25" w:rsidRPr="00E4705E" w:rsidRDefault="008A5C25" w:rsidP="00E4705E">
      <w:pPr>
        <w:spacing w:before="100" w:beforeAutospacing="1" w:after="100" w:afterAutospacing="1"/>
        <w:ind w:left="720"/>
        <w:rPr>
          <w:rFonts w:ascii="Arial" w:hAnsi="Arial" w:cs="Arial"/>
          <w:sz w:val="22"/>
          <w:szCs w:val="22"/>
        </w:rPr>
      </w:pPr>
      <w:r w:rsidRPr="00E4705E">
        <w:rPr>
          <w:rFonts w:ascii="Arial" w:hAnsi="Arial" w:cs="Arial"/>
          <w:sz w:val="22"/>
          <w:szCs w:val="22"/>
        </w:rPr>
        <w:t xml:space="preserve">Folgende Gläubiger haben mit Pfändungs- und Überweisungsbeschluss weiter das laufende </w:t>
      </w:r>
      <w:r w:rsidRPr="00E4705E">
        <w:rPr>
          <w:rFonts w:ascii="Arial" w:hAnsi="Arial" w:cs="Arial"/>
          <w:sz w:val="22"/>
          <w:szCs w:val="22"/>
          <w:u w:val="single"/>
        </w:rPr>
        <w:t>Einkommen</w:t>
      </w:r>
      <w:r w:rsidRPr="00E4705E">
        <w:rPr>
          <w:rFonts w:ascii="Arial" w:hAnsi="Arial" w:cs="Arial"/>
          <w:sz w:val="22"/>
          <w:szCs w:val="22"/>
        </w:rPr>
        <w:t xml:space="preserve"> beim Arbeitgeber des Schuldners, der </w:t>
      </w:r>
      <w:r w:rsidRPr="00E4705E">
        <w:rPr>
          <w:rFonts w:ascii="Arial" w:hAnsi="Arial" w:cs="Arial"/>
          <w:b/>
          <w:bCs/>
          <w:sz w:val="22"/>
          <w:szCs w:val="22"/>
        </w:rPr>
        <w:t xml:space="preserve">[Name, Anschrift] </w:t>
      </w:r>
      <w:r w:rsidRPr="00E4705E">
        <w:rPr>
          <w:rFonts w:ascii="Arial" w:hAnsi="Arial" w:cs="Arial"/>
          <w:sz w:val="22"/>
          <w:szCs w:val="22"/>
        </w:rPr>
        <w:t>gepfändet:</w:t>
      </w:r>
    </w:p>
    <w:p w:rsidR="008A5C25" w:rsidRPr="00E4705E" w:rsidRDefault="008A5C25" w:rsidP="00E4705E">
      <w:pPr>
        <w:spacing w:before="100" w:beforeAutospacing="1" w:after="100" w:afterAutospacing="1"/>
        <w:ind w:left="720"/>
        <w:rPr>
          <w:rFonts w:ascii="Arial" w:hAnsi="Arial" w:cs="Arial"/>
          <w:sz w:val="22"/>
          <w:szCs w:val="22"/>
        </w:rPr>
      </w:pPr>
      <w:r w:rsidRPr="00E4705E">
        <w:rPr>
          <w:rFonts w:ascii="Arial" w:hAnsi="Arial" w:cs="Arial"/>
          <w:sz w:val="22"/>
          <w:szCs w:val="22"/>
        </w:rPr>
        <w:t xml:space="preserve">- </w:t>
      </w:r>
      <w:r w:rsidRPr="00E4705E">
        <w:rPr>
          <w:rFonts w:ascii="Arial" w:hAnsi="Arial" w:cs="Arial"/>
          <w:b/>
          <w:bCs/>
          <w:i/>
          <w:iCs/>
          <w:sz w:val="22"/>
          <w:szCs w:val="22"/>
          <w:u w:val="single"/>
        </w:rPr>
        <w:t>alle Pfändungsgläubiger, die das Arbeitseinkommen pfänden müssen aufgeführt werden - </w:t>
      </w:r>
      <w:r w:rsidRPr="00E4705E">
        <w:rPr>
          <w:rFonts w:ascii="Arial" w:hAnsi="Arial" w:cs="Arial"/>
          <w:sz w:val="22"/>
          <w:szCs w:val="22"/>
        </w:rPr>
        <w:br/>
      </w:r>
      <w:r w:rsidRPr="00E4705E">
        <w:rPr>
          <w:rFonts w:ascii="Arial" w:hAnsi="Arial" w:cs="Arial"/>
          <w:sz w:val="22"/>
          <w:szCs w:val="22"/>
        </w:rPr>
        <w:br/>
        <w:t>Da der o.g. Pfändungs- und Überweisungsbeschluss auf den Lohn zugreift und die Kontopfändung zusätzlich betreibt, liegt eine Doppelpfändung insoweit vor, als das Einkommen auf dem Konto nochmals der Pfändung unterzogen wird. Da das eingehende Einkommen auch auf dem Konto geschützt ist und keine neue Pfändungsbasis eröffnet, enthält das bereits beim Arbeitgeber um den pfändbaren Anteil verkürzte Einkommen keine weiteren pfändbaren Anteile.</w:t>
      </w:r>
    </w:p>
    <w:p w:rsidR="008A5C25" w:rsidRPr="00E4705E" w:rsidRDefault="008A5C25" w:rsidP="00E4705E">
      <w:pPr>
        <w:spacing w:beforeAutospacing="1" w:afterAutospacing="1"/>
        <w:ind w:left="720"/>
        <w:rPr>
          <w:rFonts w:ascii="Arial" w:hAnsi="Arial" w:cs="Arial"/>
          <w:sz w:val="22"/>
          <w:szCs w:val="22"/>
        </w:rPr>
      </w:pPr>
      <w:r w:rsidRPr="00E4705E">
        <w:rPr>
          <w:rFonts w:ascii="Arial" w:hAnsi="Arial" w:cs="Arial"/>
          <w:sz w:val="22"/>
          <w:szCs w:val="22"/>
        </w:rPr>
        <w:lastRenderedPageBreak/>
        <w:t xml:space="preserve">Die Gutschrift ist daher abweichend von § 850k Abs. 1, 2 Satz 1 Nr. 1 ZPO in voller Höhe freizugeben. Einer Bezifferung des freizugebenden Betrages bedarf es nicht; im Falle einer Doppelpfändung von Arbeitseinkommen und Gehaltskonto gem. § 850k Abs. 4 ZPO kann das gesamte Gehalt des Schuldners freigeben werden, das monatlich von einem bestimmten Arbeitgeber auf das Gehaltskonto überwiesen wird, da es durch die Beschränkung auf die Zahlung des benannten Arbeitgebers per se nur aus unpfändbaren Einkommenszahlungen bestehen kann (BGH, Beschl. v. 10.11.2011; VII ZB 64/10) </w:t>
      </w:r>
    </w:p>
    <w:p w:rsidR="008A5C25" w:rsidRPr="00E4705E" w:rsidRDefault="008A5C25" w:rsidP="00E4705E">
      <w:pPr>
        <w:spacing w:beforeAutospacing="1" w:afterAutospacing="1"/>
        <w:ind w:left="720"/>
        <w:rPr>
          <w:rFonts w:ascii="Arial" w:hAnsi="Arial" w:cs="Arial"/>
          <w:sz w:val="22"/>
          <w:szCs w:val="22"/>
        </w:rPr>
      </w:pPr>
      <w:r w:rsidRPr="00E4705E">
        <w:rPr>
          <w:rFonts w:ascii="Arial" w:hAnsi="Arial" w:cs="Arial"/>
          <w:sz w:val="22"/>
          <w:szCs w:val="22"/>
        </w:rPr>
        <w:t xml:space="preserve">Da zu besorgen ist, dass die Entscheidung erst nach Ablauf der vierwöchigen Sperrfrist (§ 835 Abs. 3 Satz 2 ZPO) ergehen kann und der Drittschuldner inzwischen an den Gläubiger auszahlen muss, ist die Vollstreckung in Höhe des voraussichtlichen Freibetrages einstweilen einzustellen. </w:t>
      </w:r>
    </w:p>
    <w:p w:rsidR="008A5C25" w:rsidRPr="00E4705E" w:rsidRDefault="008A5C25" w:rsidP="00E4705E">
      <w:pPr>
        <w:spacing w:beforeAutospacing="1" w:afterAutospacing="1"/>
        <w:ind w:left="720"/>
        <w:rPr>
          <w:rFonts w:ascii="Arial" w:hAnsi="Arial" w:cs="Arial"/>
          <w:sz w:val="22"/>
          <w:szCs w:val="22"/>
        </w:rPr>
      </w:pPr>
      <w:r w:rsidRPr="00E4705E">
        <w:rPr>
          <w:rFonts w:ascii="Arial" w:hAnsi="Arial" w:cs="Arial"/>
          <w:b/>
          <w:bCs/>
          <w:i/>
          <w:iCs/>
          <w:sz w:val="22"/>
          <w:szCs w:val="22"/>
          <w:u w:val="single"/>
        </w:rPr>
        <w:t xml:space="preserve">Als Anlage beifügen: den letzten Einkommensnachweis, aus dem sich der Pfändungsabzug ergibt, Kontoauszüge der letzten Monate und </w:t>
      </w:r>
      <w:proofErr w:type="spellStart"/>
      <w:r w:rsidRPr="00E4705E">
        <w:rPr>
          <w:rFonts w:ascii="Arial" w:hAnsi="Arial" w:cs="Arial"/>
          <w:b/>
          <w:bCs/>
          <w:i/>
          <w:iCs/>
          <w:sz w:val="22"/>
          <w:szCs w:val="22"/>
          <w:u w:val="single"/>
        </w:rPr>
        <w:t>ggfls</w:t>
      </w:r>
      <w:proofErr w:type="spellEnd"/>
      <w:r w:rsidRPr="00E4705E">
        <w:rPr>
          <w:rFonts w:ascii="Arial" w:hAnsi="Arial" w:cs="Arial"/>
          <w:b/>
          <w:bCs/>
          <w:i/>
          <w:iCs/>
          <w:sz w:val="22"/>
          <w:szCs w:val="22"/>
          <w:u w:val="single"/>
        </w:rPr>
        <w:t xml:space="preserve"> noch den Nachweis, </w:t>
      </w:r>
      <w:proofErr w:type="spellStart"/>
      <w:r w:rsidRPr="00E4705E">
        <w:rPr>
          <w:rFonts w:ascii="Arial" w:hAnsi="Arial" w:cs="Arial"/>
          <w:b/>
          <w:bCs/>
          <w:i/>
          <w:iCs/>
          <w:sz w:val="22"/>
          <w:szCs w:val="22"/>
          <w:u w:val="single"/>
        </w:rPr>
        <w:t>das</w:t>
      </w:r>
      <w:proofErr w:type="spellEnd"/>
      <w:r w:rsidRPr="00E4705E">
        <w:rPr>
          <w:rFonts w:ascii="Arial" w:hAnsi="Arial" w:cs="Arial"/>
          <w:b/>
          <w:bCs/>
          <w:i/>
          <w:iCs/>
          <w:sz w:val="22"/>
          <w:szCs w:val="22"/>
          <w:u w:val="single"/>
        </w:rPr>
        <w:t xml:space="preserve"> das Konto als P-Konto geführt wird.</w:t>
      </w:r>
      <w:r w:rsidRPr="00E4705E">
        <w:rPr>
          <w:rFonts w:ascii="Arial" w:hAnsi="Arial" w:cs="Arial"/>
          <w:sz w:val="22"/>
          <w:szCs w:val="22"/>
        </w:rPr>
        <w:t>.</w:t>
      </w:r>
    </w:p>
    <w:p w:rsidR="008A5C25" w:rsidRDefault="008A5C25" w:rsidP="00C93CF8">
      <w:pPr>
        <w:jc w:val="right"/>
        <w:rPr>
          <w:rFonts w:ascii="Arial" w:hAnsi="Arial" w:cs="Arial"/>
          <w:sz w:val="22"/>
          <w:szCs w:val="22"/>
        </w:rPr>
        <w:sectPr w:rsidR="008A5C25" w:rsidSect="008A5C25">
          <w:pgSz w:w="11906" w:h="16838" w:code="9"/>
          <w:pgMar w:top="719" w:right="1418" w:bottom="1134" w:left="1418" w:header="709" w:footer="142" w:gutter="0"/>
          <w:pgNumType w:start="1"/>
          <w:cols w:space="708"/>
          <w:docGrid w:linePitch="360"/>
        </w:sectPr>
      </w:pPr>
    </w:p>
    <w:p w:rsidR="008A5C25" w:rsidRPr="00C93CF8" w:rsidRDefault="008A5C25" w:rsidP="00C93CF8">
      <w:pPr>
        <w:jc w:val="right"/>
        <w:rPr>
          <w:rFonts w:ascii="Arial" w:hAnsi="Arial" w:cs="Arial"/>
          <w:sz w:val="22"/>
          <w:szCs w:val="22"/>
        </w:rPr>
      </w:pPr>
    </w:p>
    <w:sectPr w:rsidR="008A5C25" w:rsidRPr="00C93CF8" w:rsidSect="008A5C25">
      <w:type w:val="continuous"/>
      <w:pgSz w:w="11906" w:h="16838" w:code="9"/>
      <w:pgMar w:top="719" w:right="1418" w:bottom="1134" w:left="1418"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25" w:rsidRDefault="008A5C25">
      <w:r>
        <w:separator/>
      </w:r>
    </w:p>
  </w:endnote>
  <w:endnote w:type="continuationSeparator" w:id="0">
    <w:p w:rsidR="008A5C25" w:rsidRDefault="008A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25" w:rsidRDefault="008A5C25">
      <w:r>
        <w:separator/>
      </w:r>
    </w:p>
  </w:footnote>
  <w:footnote w:type="continuationSeparator" w:id="0">
    <w:p w:rsidR="008A5C25" w:rsidRDefault="008A5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4740A"/>
    <w:multiLevelType w:val="multilevel"/>
    <w:tmpl w:val="0C36D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5630E2"/>
    <w:multiLevelType w:val="multilevel"/>
    <w:tmpl w:val="35AC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3E8"/>
    <w:rsid w:val="00013B79"/>
    <w:rsid w:val="00020F01"/>
    <w:rsid w:val="0010420F"/>
    <w:rsid w:val="001118B1"/>
    <w:rsid w:val="00111AE9"/>
    <w:rsid w:val="00112EF4"/>
    <w:rsid w:val="00131ECB"/>
    <w:rsid w:val="00151428"/>
    <w:rsid w:val="0015541F"/>
    <w:rsid w:val="00156614"/>
    <w:rsid w:val="002811FB"/>
    <w:rsid w:val="002C5B49"/>
    <w:rsid w:val="003023E8"/>
    <w:rsid w:val="00355990"/>
    <w:rsid w:val="00380101"/>
    <w:rsid w:val="00396004"/>
    <w:rsid w:val="0041110B"/>
    <w:rsid w:val="004C4174"/>
    <w:rsid w:val="00502B35"/>
    <w:rsid w:val="00657ABC"/>
    <w:rsid w:val="0066421C"/>
    <w:rsid w:val="006F245C"/>
    <w:rsid w:val="00775527"/>
    <w:rsid w:val="007E4D03"/>
    <w:rsid w:val="00871469"/>
    <w:rsid w:val="008721D1"/>
    <w:rsid w:val="008750F2"/>
    <w:rsid w:val="008A5C25"/>
    <w:rsid w:val="0098185F"/>
    <w:rsid w:val="009B0362"/>
    <w:rsid w:val="00AD6811"/>
    <w:rsid w:val="00BD48A7"/>
    <w:rsid w:val="00C93CF8"/>
    <w:rsid w:val="00D01A37"/>
    <w:rsid w:val="00D60E56"/>
    <w:rsid w:val="00D61090"/>
    <w:rsid w:val="00D717C0"/>
    <w:rsid w:val="00E16DD0"/>
    <w:rsid w:val="00E4705E"/>
    <w:rsid w:val="00E809A0"/>
    <w:rsid w:val="00EC5218"/>
    <w:rsid w:val="00EE0D7C"/>
    <w:rsid w:val="00F14DED"/>
    <w:rsid w:val="00FB1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1118B1"/>
    <w:rPr>
      <w:rFonts w:ascii="Tahoma" w:hAnsi="Tahoma" w:cs="Tahoma"/>
      <w:sz w:val="16"/>
      <w:szCs w:val="16"/>
    </w:rPr>
  </w:style>
  <w:style w:type="paragraph" w:styleId="Kopfzeile">
    <w:name w:val="header"/>
    <w:basedOn w:val="Standard"/>
    <w:rsid w:val="001118B1"/>
    <w:pPr>
      <w:tabs>
        <w:tab w:val="center" w:pos="4536"/>
        <w:tab w:val="right" w:pos="9072"/>
      </w:tabs>
    </w:pPr>
  </w:style>
  <w:style w:type="paragraph" w:styleId="Fuzeile">
    <w:name w:val="footer"/>
    <w:basedOn w:val="Standard"/>
    <w:rsid w:val="001118B1"/>
    <w:pPr>
      <w:tabs>
        <w:tab w:val="center" w:pos="4536"/>
        <w:tab w:val="right" w:pos="9072"/>
      </w:tabs>
    </w:pPr>
  </w:style>
  <w:style w:type="table" w:styleId="Tabellengitternetz">
    <w:name w:val="Tabellengitternetz"/>
    <w:basedOn w:val="NormaleTabelle"/>
    <w:rsid w:val="0011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020F0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EE0~1.MAT\AppData\Local\Temp\112\CAWIN8\Vorlage_178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Vorlage_1780.dot</Template>
  <TotalTime>0</TotalTime>
  <Pages>2</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lpstr>
    </vt:vector>
  </TitlesOfParts>
  <Company>id-netsolutions GmbH</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Matschke</dc:creator>
  <cp:lastModifiedBy>Franziska Matschke</cp:lastModifiedBy>
  <cp:revision>1</cp:revision>
  <cp:lastPrinted>2009-01-16T12:02:00Z</cp:lastPrinted>
  <dcterms:created xsi:type="dcterms:W3CDTF">2018-12-17T09:32:00Z</dcterms:created>
  <dcterms:modified xsi:type="dcterms:W3CDTF">2018-12-17T09:33:00Z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WIN">
    <vt:bool>true</vt:bool>
  </property>
  <property fmtid="{D5CDD505-2E9C-101B-9397-08002B2CF9AE}" pid="3" name="BEARBSTAT">
    <vt:i4>1</vt:i4>
  </property>
  <property fmtid="{D5CDD505-2E9C-101B-9397-08002B2CF9AE}" pid="4" name="NR">
    <vt:i4>0</vt:i4>
  </property>
  <property fmtid="{D5CDD505-2E9C-101B-9397-08002B2CF9AE}" pid="5" name="TEMPLATE">
    <vt:bool>false</vt:bool>
  </property>
  <property fmtid="{D5CDD505-2E9C-101B-9397-08002B2CF9AE}" pid="6" name="ENDOFTEMPLATE">
    <vt:bool>false</vt:bool>
  </property>
  <property fmtid="{D5CDD505-2E9C-101B-9397-08002B2CF9AE}" pid="7" name="HNR">
    <vt:i4>18430</vt:i4>
  </property>
  <property fmtid="{D5CDD505-2E9C-101B-9397-08002B2CF9AE}" pid="8" name="EMPFAENGER">
    <vt:i4>0</vt:i4>
  </property>
  <property fmtid="{D5CDD505-2E9C-101B-9397-08002B2CF9AE}" pid="9" name="GLAEUBIGER">
    <vt:i4>0</vt:i4>
  </property>
  <property fmtid="{D5CDD505-2E9C-101B-9397-08002B2CF9AE}" pid="10" name="HHAKTENZEICHEN">
    <vt:lpwstr>17-FMa-18430</vt:lpwstr>
  </property>
  <property fmtid="{D5CDD505-2E9C-101B-9397-08002B2CF9AE}" pid="11" name="ANLASS">
    <vt:lpwstr>Antrag nach §850 k bei bestehender Lohnpfändung</vt:lpwstr>
  </property>
  <property fmtid="{D5CDD505-2E9C-101B-9397-08002B2CF9AE}" pid="12" name="BEMERKUNG">
    <vt:lpwstr/>
  </property>
  <property fmtid="{D5CDD505-2E9C-101B-9397-08002B2CF9AE}" pid="13" name="GEAENDERTVON">
    <vt:lpwstr>ASP\F.MATSCHKE</vt:lpwstr>
  </property>
  <property fmtid="{D5CDD505-2E9C-101B-9397-08002B2CF9AE}" pid="14" name="GEAENDERTAM">
    <vt:filetime>2018-12-17T09:32:31Z</vt:filetime>
  </property>
  <property fmtid="{D5CDD505-2E9C-101B-9397-08002B2CF9AE}" pid="15" name="ANGELEGTVON">
    <vt:lpwstr>ASP\F.MATSCHKE</vt:lpwstr>
  </property>
  <property fmtid="{D5CDD505-2E9C-101B-9397-08002B2CF9AE}" pid="16" name="ANGELEGTAM">
    <vt:filetime>2018-12-17T09:32:31Z</vt:filetime>
  </property>
  <property fmtid="{D5CDD505-2E9C-101B-9397-08002B2CF9AE}" pid="17" name="Serienbrief">
    <vt:bool>true</vt:bool>
  </property>
  <property fmtid="{D5CDD505-2E9C-101B-9397-08002B2CF9AE}" pid="18" name="PROZESSID">
    <vt:i4>105684</vt:i4>
  </property>
  <property fmtid="{D5CDD505-2E9C-101B-9397-08002B2CF9AE}" pid="19" name="GUID">
    <vt:lpwstr>D9A6FEFE-606B-7641-8E30-A30070ED4A65</vt:lpwstr>
  </property>
</Properties>
</file>